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43" w:rsidRDefault="003F2643" w:rsidP="00C246CC">
      <w:pPr>
        <w:adjustRightInd w:val="0"/>
        <w:spacing w:after="120"/>
        <w:jc w:val="center"/>
        <w:rPr>
          <w:rFonts w:ascii="Times New Roman" w:hAnsi="Times New Roman"/>
          <w:b/>
          <w:sz w:val="28"/>
          <w:szCs w:val="28"/>
        </w:rPr>
      </w:pPr>
      <w:bookmarkStart w:id="0" w:name="_GoBack"/>
      <w:bookmarkEnd w:id="0"/>
    </w:p>
    <w:p w:rsidR="00C84143" w:rsidRPr="00C246CC" w:rsidRDefault="00C84143" w:rsidP="00C246CC">
      <w:pPr>
        <w:adjustRightInd w:val="0"/>
        <w:spacing w:after="120"/>
        <w:jc w:val="center"/>
        <w:rPr>
          <w:rFonts w:ascii="Times New Roman" w:hAnsi="Times New Roman"/>
          <w:b/>
          <w:sz w:val="28"/>
          <w:szCs w:val="28"/>
        </w:rPr>
      </w:pPr>
      <w:r w:rsidRPr="00C246CC">
        <w:rPr>
          <w:rFonts w:ascii="Times New Roman" w:hAnsi="Times New Roman"/>
          <w:noProof/>
          <w:sz w:val="28"/>
          <w:szCs w:val="28"/>
          <w:lang w:eastAsia="zh-CN"/>
        </w:rPr>
        <w:drawing>
          <wp:anchor distT="0" distB="0" distL="114300" distR="114300" simplePos="0" relativeHeight="251660288" behindDoc="0" locked="0" layoutInCell="1" allowOverlap="1">
            <wp:simplePos x="0" y="0"/>
            <wp:positionH relativeFrom="column">
              <wp:posOffset>135255</wp:posOffset>
            </wp:positionH>
            <wp:positionV relativeFrom="paragraph">
              <wp:posOffset>-395605</wp:posOffset>
            </wp:positionV>
            <wp:extent cx="1181100" cy="457200"/>
            <wp:effectExtent l="0" t="0" r="0" b="0"/>
            <wp:wrapNone/>
            <wp:docPr id="2" name="圖片 2" descr="wording"/>
            <wp:cNvGraphicFramePr/>
            <a:graphic xmlns:a="http://schemas.openxmlformats.org/drawingml/2006/main">
              <a:graphicData uri="http://schemas.openxmlformats.org/drawingml/2006/picture">
                <pic:pic xmlns:pic="http://schemas.openxmlformats.org/drawingml/2006/picture">
                  <pic:nvPicPr>
                    <pic:cNvPr id="2" name="圖片 2" descr="word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anchor>
        </w:drawing>
      </w:r>
      <w:r w:rsidRPr="00C246CC">
        <w:rPr>
          <w:rFonts w:ascii="Times New Roman" w:hAnsi="Times New Roman"/>
          <w:noProof/>
          <w:sz w:val="28"/>
          <w:szCs w:val="28"/>
          <w:lang w:eastAsia="zh-CN"/>
        </w:rPr>
        <w:drawing>
          <wp:anchor distT="0" distB="0" distL="114300" distR="114300" simplePos="0" relativeHeight="251659264" behindDoc="0" locked="0" layoutInCell="1" allowOverlap="1">
            <wp:simplePos x="0" y="0"/>
            <wp:positionH relativeFrom="column">
              <wp:posOffset>-234315</wp:posOffset>
            </wp:positionH>
            <wp:positionV relativeFrom="paragraph">
              <wp:posOffset>-395605</wp:posOffset>
            </wp:positionV>
            <wp:extent cx="367030" cy="457200"/>
            <wp:effectExtent l="0" t="0" r="0" b="0"/>
            <wp:wrapNone/>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030" cy="457200"/>
                    </a:xfrm>
                    <a:prstGeom prst="rect">
                      <a:avLst/>
                    </a:prstGeom>
                    <a:noFill/>
                    <a:ln>
                      <a:noFill/>
                    </a:ln>
                  </pic:spPr>
                </pic:pic>
              </a:graphicData>
            </a:graphic>
          </wp:anchor>
        </w:drawing>
      </w:r>
      <w:r w:rsidRPr="00C246CC">
        <w:rPr>
          <w:rFonts w:ascii="Times New Roman" w:hAnsi="Times New Roman"/>
          <w:b/>
          <w:sz w:val="28"/>
          <w:szCs w:val="28"/>
        </w:rPr>
        <w:t>Pearl Jubilee College</w:t>
      </w:r>
    </w:p>
    <w:p w:rsidR="00C84143" w:rsidRPr="00C246CC" w:rsidRDefault="00C84143" w:rsidP="00C246CC">
      <w:pPr>
        <w:adjustRightInd w:val="0"/>
        <w:spacing w:after="120"/>
        <w:jc w:val="center"/>
        <w:rPr>
          <w:rFonts w:ascii="Times New Roman" w:hAnsi="Times New Roman"/>
          <w:b/>
          <w:sz w:val="28"/>
          <w:szCs w:val="28"/>
        </w:rPr>
      </w:pPr>
      <w:r w:rsidRPr="00C246CC">
        <w:rPr>
          <w:rFonts w:ascii="Times New Roman" w:hAnsi="Times New Roman"/>
          <w:b/>
          <w:sz w:val="28"/>
          <w:szCs w:val="28"/>
        </w:rPr>
        <w:t xml:space="preserve">Project Funding </w:t>
      </w:r>
      <w:r w:rsidR="00C246CC" w:rsidRPr="00C246CC">
        <w:rPr>
          <w:rFonts w:ascii="Times New Roman" w:hAnsi="Times New Roman"/>
          <w:b/>
          <w:sz w:val="28"/>
          <w:szCs w:val="28"/>
        </w:rPr>
        <w:t>Guidelines</w:t>
      </w:r>
    </w:p>
    <w:p w:rsidR="00C246CC" w:rsidRDefault="00975B3C" w:rsidP="00F116AA">
      <w:pPr>
        <w:spacing w:before="240" w:after="120"/>
        <w:jc w:val="both"/>
      </w:pPr>
      <w:r>
        <w:t xml:space="preserve">All Pearl Jubilee College members are eligible for </w:t>
      </w:r>
      <w:r w:rsidR="00D1407C">
        <w:rPr>
          <w:rFonts w:eastAsia="SimSun" w:hint="eastAsia"/>
          <w:lang w:eastAsia="zh-CN"/>
        </w:rPr>
        <w:t xml:space="preserve">college </w:t>
      </w:r>
      <w:r>
        <w:rPr>
          <w:rFonts w:eastAsia="SimSun" w:hint="eastAsia"/>
          <w:lang w:eastAsia="zh-CN"/>
        </w:rPr>
        <w:t>internal project grant</w:t>
      </w:r>
      <w:r w:rsidRPr="005008B7">
        <w:t>.</w:t>
      </w:r>
      <w:r w:rsidRPr="005008B7">
        <w:rPr>
          <w:rFonts w:hint="eastAsia"/>
        </w:rPr>
        <w:t xml:space="preserve"> </w:t>
      </w:r>
      <w:r>
        <w:rPr>
          <w:rFonts w:eastAsiaTheme="minorEastAsia" w:hint="eastAsia"/>
          <w:lang w:eastAsia="zh-CN"/>
        </w:rPr>
        <w:t>But s</w:t>
      </w:r>
      <w:r>
        <w:t xml:space="preserve">tudent who has received any other financial support for the </w:t>
      </w:r>
      <w:r>
        <w:rPr>
          <w:rFonts w:eastAsiaTheme="minorEastAsia" w:hint="eastAsia"/>
          <w:lang w:eastAsia="zh-CN"/>
        </w:rPr>
        <w:t>items of project</w:t>
      </w:r>
      <w:r>
        <w:t xml:space="preserve"> is not eligible to apply for this grant. </w:t>
      </w:r>
      <w:r w:rsidR="00C246CC">
        <w:t xml:space="preserve">In general, all </w:t>
      </w:r>
      <w:r>
        <w:rPr>
          <w:rFonts w:eastAsia="SimSun" w:hint="eastAsia"/>
          <w:lang w:eastAsia="zh-CN"/>
        </w:rPr>
        <w:t>PJC</w:t>
      </w:r>
      <w:r w:rsidR="00C246CC">
        <w:t xml:space="preserve"> internal project grants can flexibly support the items </w:t>
      </w:r>
      <w:r w:rsidR="008156A2">
        <w:t>listed below</w:t>
      </w:r>
      <w:r w:rsidR="00C246CC">
        <w:t>:</w:t>
      </w:r>
    </w:p>
    <w:p w:rsidR="002A0E5C" w:rsidRPr="003D1439" w:rsidRDefault="00C246CC" w:rsidP="002A0E5C">
      <w:pPr>
        <w:pStyle w:val="ListParagraph"/>
        <w:numPr>
          <w:ilvl w:val="0"/>
          <w:numId w:val="2"/>
        </w:numPr>
        <w:ind w:leftChars="0" w:left="714" w:hanging="357"/>
        <w:jc w:val="both"/>
        <w:rPr>
          <w:b/>
        </w:rPr>
      </w:pPr>
      <w:r w:rsidRPr="002A0E5C">
        <w:rPr>
          <w:b/>
        </w:rPr>
        <w:t>Supplies &amp; Materials</w:t>
      </w:r>
      <w:r w:rsidRPr="003D1439">
        <w:rPr>
          <w:b/>
        </w:rPr>
        <w:t xml:space="preserve"> </w:t>
      </w:r>
    </w:p>
    <w:p w:rsidR="002A0E5C" w:rsidRDefault="002A0E5C" w:rsidP="002A0E5C">
      <w:pPr>
        <w:pStyle w:val="ListParagraph"/>
        <w:numPr>
          <w:ilvl w:val="0"/>
          <w:numId w:val="3"/>
        </w:numPr>
        <w:ind w:leftChars="0"/>
        <w:jc w:val="both"/>
      </w:pPr>
      <w:r>
        <w:t>E</w:t>
      </w:r>
      <w:r w:rsidR="00C246CC">
        <w:t xml:space="preserve">quipment, </w:t>
      </w:r>
      <w:r>
        <w:t>Supplies and Materials</w:t>
      </w:r>
    </w:p>
    <w:p w:rsidR="002A0E5C" w:rsidRDefault="002A0E5C" w:rsidP="002A0E5C">
      <w:pPr>
        <w:pStyle w:val="ListParagraph"/>
        <w:numPr>
          <w:ilvl w:val="0"/>
          <w:numId w:val="3"/>
        </w:numPr>
        <w:ind w:leftChars="0"/>
        <w:jc w:val="both"/>
      </w:pPr>
      <w:r>
        <w:t>Reference materials</w:t>
      </w:r>
    </w:p>
    <w:p w:rsidR="00C246CC" w:rsidRDefault="002A0E5C" w:rsidP="002A0E5C">
      <w:pPr>
        <w:pStyle w:val="ListParagraph"/>
        <w:numPr>
          <w:ilvl w:val="0"/>
          <w:numId w:val="3"/>
        </w:numPr>
        <w:spacing w:after="120"/>
        <w:ind w:leftChars="0" w:left="1429" w:hanging="357"/>
        <w:jc w:val="both"/>
      </w:pPr>
      <w:r>
        <w:t>Survey/ Questionnaire Studies</w:t>
      </w:r>
    </w:p>
    <w:p w:rsidR="00C246CC" w:rsidRPr="002A0E5C" w:rsidRDefault="00C246CC" w:rsidP="002A0E5C">
      <w:pPr>
        <w:pStyle w:val="ListParagraph"/>
        <w:numPr>
          <w:ilvl w:val="0"/>
          <w:numId w:val="2"/>
        </w:numPr>
        <w:ind w:leftChars="0" w:left="714" w:hanging="357"/>
        <w:jc w:val="both"/>
        <w:rPr>
          <w:b/>
        </w:rPr>
      </w:pPr>
      <w:r w:rsidRPr="002A0E5C">
        <w:rPr>
          <w:b/>
        </w:rPr>
        <w:t xml:space="preserve">Research &amp; Conference Trip </w:t>
      </w:r>
    </w:p>
    <w:p w:rsidR="002A0E5C" w:rsidRDefault="002A0E5C" w:rsidP="002A0E5C">
      <w:pPr>
        <w:pStyle w:val="ListParagraph"/>
        <w:numPr>
          <w:ilvl w:val="0"/>
          <w:numId w:val="3"/>
        </w:numPr>
        <w:ind w:leftChars="0"/>
        <w:jc w:val="both"/>
      </w:pPr>
      <w:r>
        <w:t>Conference Trips</w:t>
      </w:r>
    </w:p>
    <w:p w:rsidR="002A0E5C" w:rsidRDefault="002A0E5C" w:rsidP="002A0E5C">
      <w:pPr>
        <w:pStyle w:val="ListParagraph"/>
        <w:numPr>
          <w:ilvl w:val="0"/>
          <w:numId w:val="3"/>
        </w:numPr>
        <w:spacing w:after="120"/>
        <w:ind w:leftChars="0" w:left="1429" w:hanging="357"/>
        <w:jc w:val="both"/>
      </w:pPr>
      <w:r>
        <w:t>Research/ Field Trips</w:t>
      </w:r>
    </w:p>
    <w:p w:rsidR="002A0E5C" w:rsidRPr="003D1439" w:rsidRDefault="00C246CC" w:rsidP="003D1439">
      <w:pPr>
        <w:pStyle w:val="ListParagraph"/>
        <w:numPr>
          <w:ilvl w:val="0"/>
          <w:numId w:val="2"/>
        </w:numPr>
        <w:ind w:leftChars="0" w:left="714" w:hanging="357"/>
        <w:jc w:val="both"/>
        <w:rPr>
          <w:b/>
        </w:rPr>
      </w:pPr>
      <w:r w:rsidRPr="002A0E5C">
        <w:rPr>
          <w:b/>
        </w:rPr>
        <w:t>Publication</w:t>
      </w:r>
      <w:r w:rsidRPr="003D1439">
        <w:rPr>
          <w:b/>
        </w:rPr>
        <w:t xml:space="preserve"> </w:t>
      </w:r>
    </w:p>
    <w:p w:rsidR="003D1439" w:rsidRDefault="003D1439" w:rsidP="003D1439">
      <w:pPr>
        <w:pStyle w:val="ListParagraph"/>
        <w:numPr>
          <w:ilvl w:val="0"/>
          <w:numId w:val="3"/>
        </w:numPr>
        <w:spacing w:after="120"/>
        <w:ind w:leftChars="0" w:hanging="357"/>
        <w:jc w:val="both"/>
      </w:pPr>
      <w:r>
        <w:t>E</w:t>
      </w:r>
      <w:r w:rsidR="00C246CC">
        <w:t>diting, proofreading</w:t>
      </w:r>
      <w:r>
        <w:t xml:space="preserve"> and publication costs</w:t>
      </w:r>
    </w:p>
    <w:p w:rsidR="003D1439" w:rsidRDefault="00C246CC" w:rsidP="003D1439">
      <w:pPr>
        <w:pStyle w:val="ListParagraph"/>
        <w:numPr>
          <w:ilvl w:val="0"/>
          <w:numId w:val="2"/>
        </w:numPr>
        <w:ind w:leftChars="0" w:left="714" w:hanging="357"/>
        <w:jc w:val="both"/>
        <w:rPr>
          <w:b/>
        </w:rPr>
      </w:pPr>
      <w:r w:rsidRPr="002A0E5C">
        <w:rPr>
          <w:b/>
        </w:rPr>
        <w:t xml:space="preserve">Others </w:t>
      </w:r>
    </w:p>
    <w:p w:rsidR="00A71B3A" w:rsidRDefault="003D1439" w:rsidP="00A71B3A">
      <w:pPr>
        <w:pStyle w:val="ListParagraph"/>
        <w:numPr>
          <w:ilvl w:val="0"/>
          <w:numId w:val="3"/>
        </w:numPr>
        <w:ind w:leftChars="0" w:hanging="357"/>
        <w:jc w:val="both"/>
      </w:pPr>
      <w:r w:rsidRPr="003D1439">
        <w:t>miscellaneous</w:t>
      </w:r>
      <w:r w:rsidR="00C246CC" w:rsidRPr="003D1439">
        <w:t xml:space="preserve"> </w:t>
      </w:r>
    </w:p>
    <w:p w:rsidR="00A71B3A" w:rsidRDefault="00A71B3A" w:rsidP="00A71B3A">
      <w:pPr>
        <w:ind w:left="1077"/>
        <w:jc w:val="both"/>
      </w:pPr>
    </w:p>
    <w:p w:rsidR="003D1439" w:rsidRPr="003D1439" w:rsidRDefault="003D1439" w:rsidP="00C87707">
      <w:pPr>
        <w:pStyle w:val="ListParagraph"/>
        <w:numPr>
          <w:ilvl w:val="1"/>
          <w:numId w:val="4"/>
        </w:numPr>
        <w:spacing w:after="120"/>
        <w:ind w:leftChars="0" w:left="0" w:firstLine="357"/>
        <w:jc w:val="both"/>
        <w:rPr>
          <w:b/>
        </w:rPr>
      </w:pPr>
      <w:r w:rsidRPr="003D1439">
        <w:rPr>
          <w:b/>
        </w:rPr>
        <w:t>Equipment, Supplies and Materials</w:t>
      </w:r>
    </w:p>
    <w:p w:rsidR="003D1439" w:rsidRDefault="00C87707" w:rsidP="00027CAB">
      <w:pPr>
        <w:spacing w:after="120"/>
        <w:jc w:val="both"/>
      </w:pPr>
      <w:bookmarkStart w:id="1" w:name="OLE_LINK13"/>
      <w:bookmarkStart w:id="2" w:name="OLE_LINK14"/>
      <w:r>
        <w:t xml:space="preserve">The property of all purchased durable assets belongs to </w:t>
      </w:r>
      <w:bookmarkEnd w:id="1"/>
      <w:bookmarkEnd w:id="2"/>
      <w:r>
        <w:t xml:space="preserve">Pearl Jubilee College. </w:t>
      </w:r>
      <w:r w:rsidR="003D1439">
        <w:t>Grant recipients</w:t>
      </w:r>
      <w:r>
        <w:t xml:space="preserve"> should provide a list of all </w:t>
      </w:r>
      <w:r w:rsidR="00A33AE5">
        <w:t>purchased durable assets, software, databases and programs to College Office for the purpose of the research. Applicants should return these purchases to PJC after completion of the project. Thereafter, these returned items would become assets of PJC.</w:t>
      </w:r>
    </w:p>
    <w:p w:rsidR="00A33AE5" w:rsidRDefault="00A33AE5" w:rsidP="00576336">
      <w:pPr>
        <w:jc w:val="both"/>
      </w:pPr>
      <w:r>
        <w:t>Purchase of notebooks, USB flash Drives and other mobile electronic devices are not allowed. Exceptional cases will have to be justified, together with faulty recommendation, and approved by the Master on a case-by-case basis.</w:t>
      </w:r>
    </w:p>
    <w:p w:rsidR="003D1439" w:rsidRDefault="003D1439" w:rsidP="003D1439">
      <w:pPr>
        <w:pStyle w:val="ListParagraph"/>
        <w:ind w:leftChars="0" w:left="360"/>
        <w:jc w:val="both"/>
      </w:pPr>
    </w:p>
    <w:p w:rsidR="003D1439" w:rsidRPr="00C438E4" w:rsidRDefault="003D1439" w:rsidP="00C438E4">
      <w:pPr>
        <w:pStyle w:val="ListParagraph"/>
        <w:numPr>
          <w:ilvl w:val="1"/>
          <w:numId w:val="4"/>
        </w:numPr>
        <w:spacing w:after="120"/>
        <w:ind w:leftChars="0" w:left="0" w:firstLine="357"/>
        <w:jc w:val="both"/>
        <w:rPr>
          <w:b/>
        </w:rPr>
      </w:pPr>
      <w:r w:rsidRPr="00C438E4">
        <w:rPr>
          <w:b/>
        </w:rPr>
        <w:t>Reference materials</w:t>
      </w:r>
    </w:p>
    <w:p w:rsidR="003D1439" w:rsidRDefault="00C438E4" w:rsidP="005147A7">
      <w:pPr>
        <w:jc w:val="both"/>
      </w:pPr>
      <w:r>
        <w:t xml:space="preserve">Subscribing materials such as books, </w:t>
      </w:r>
      <w:r w:rsidR="00050F98">
        <w:t xml:space="preserve">journals </w:t>
      </w:r>
      <w:r>
        <w:t>or other references</w:t>
      </w:r>
      <w:r w:rsidR="00975B3C">
        <w:rPr>
          <w:rFonts w:eastAsia="SimSun" w:hint="eastAsia"/>
          <w:lang w:eastAsia="zh-CN"/>
        </w:rPr>
        <w:t xml:space="preserve"> </w:t>
      </w:r>
      <w:r>
        <w:t>could be support</w:t>
      </w:r>
      <w:r w:rsidR="00C071D3">
        <w:t>ed</w:t>
      </w:r>
      <w:r>
        <w:t xml:space="preserve">. </w:t>
      </w:r>
      <w:r w:rsidR="00050F98">
        <w:t>A</w:t>
      </w:r>
      <w:r w:rsidR="00C704A1">
        <w:t>ll purchased books</w:t>
      </w:r>
      <w:r w:rsidR="00050F98">
        <w:t>, journals, and references</w:t>
      </w:r>
      <w:r w:rsidR="009429E5">
        <w:rPr>
          <w:rStyle w:val="FootnoteReference"/>
        </w:rPr>
        <w:footnoteReference w:id="1"/>
      </w:r>
      <w:r w:rsidR="00C704A1">
        <w:t xml:space="preserve"> </w:t>
      </w:r>
      <w:r w:rsidR="00050F98">
        <w:t>must be transferred to</w:t>
      </w:r>
      <w:r w:rsidR="00C704A1">
        <w:t xml:space="preserve"> </w:t>
      </w:r>
      <w:r w:rsidR="005147A7">
        <w:t>the College Library at the end of project.</w:t>
      </w:r>
    </w:p>
    <w:p w:rsidR="003D1439" w:rsidRDefault="003D1439" w:rsidP="003D1439">
      <w:pPr>
        <w:pStyle w:val="ListParagraph"/>
        <w:ind w:leftChars="0" w:left="360"/>
        <w:jc w:val="both"/>
      </w:pPr>
    </w:p>
    <w:p w:rsidR="003D1439" w:rsidRPr="005147A7" w:rsidRDefault="003D1439" w:rsidP="005147A7">
      <w:pPr>
        <w:pStyle w:val="ListParagraph"/>
        <w:numPr>
          <w:ilvl w:val="1"/>
          <w:numId w:val="4"/>
        </w:numPr>
        <w:spacing w:after="120"/>
        <w:ind w:leftChars="0" w:left="0" w:firstLine="357"/>
        <w:jc w:val="both"/>
        <w:rPr>
          <w:b/>
        </w:rPr>
      </w:pPr>
      <w:r w:rsidRPr="005147A7">
        <w:rPr>
          <w:b/>
        </w:rPr>
        <w:t>Survey/ Questionnaire Studies</w:t>
      </w:r>
    </w:p>
    <w:p w:rsidR="003D1439" w:rsidRDefault="005147A7" w:rsidP="005147A7">
      <w:pPr>
        <w:jc w:val="both"/>
      </w:pPr>
      <w:r>
        <w:t xml:space="preserve">Research methods, schedule plan and </w:t>
      </w:r>
      <w:r w:rsidR="00410065">
        <w:t xml:space="preserve">detailed description for the cost relating to survey </w:t>
      </w:r>
      <w:r w:rsidR="00410065">
        <w:lastRenderedPageBreak/>
        <w:t xml:space="preserve">/questionnaire studies should be included in the application proposal for consideration. Printing fee and </w:t>
      </w:r>
      <w:bookmarkStart w:id="3" w:name="OLE_LINK1"/>
      <w:bookmarkStart w:id="4" w:name="OLE_LINK2"/>
      <w:bookmarkStart w:id="5" w:name="OLE_LINK3"/>
      <w:bookmarkStart w:id="6" w:name="OLE_LINK4"/>
      <w:r w:rsidR="00410065">
        <w:t>purchasing gift</w:t>
      </w:r>
      <w:r w:rsidR="006912F6">
        <w:t>s</w:t>
      </w:r>
      <w:r w:rsidR="00410065">
        <w:t xml:space="preserve"> for the interviewees</w:t>
      </w:r>
      <w:bookmarkEnd w:id="3"/>
      <w:bookmarkEnd w:id="4"/>
      <w:r w:rsidR="00410065">
        <w:t xml:space="preserve"> </w:t>
      </w:r>
      <w:bookmarkEnd w:id="5"/>
      <w:bookmarkEnd w:id="6"/>
      <w:r w:rsidR="00410065">
        <w:t>could be support</w:t>
      </w:r>
      <w:r w:rsidR="00050F98">
        <w:t>ed</w:t>
      </w:r>
      <w:r w:rsidR="00410065">
        <w:t xml:space="preserve">. </w:t>
      </w:r>
    </w:p>
    <w:p w:rsidR="003D1439" w:rsidRDefault="003D1439" w:rsidP="003D1439">
      <w:pPr>
        <w:pStyle w:val="ListParagraph"/>
        <w:ind w:leftChars="0" w:left="360"/>
        <w:jc w:val="both"/>
      </w:pPr>
    </w:p>
    <w:p w:rsidR="006912F6" w:rsidRDefault="006912F6" w:rsidP="006912F6">
      <w:pPr>
        <w:pStyle w:val="ListParagraph"/>
        <w:spacing w:after="120"/>
        <w:ind w:leftChars="0" w:left="357"/>
        <w:jc w:val="both"/>
        <w:rPr>
          <w:b/>
        </w:rPr>
      </w:pPr>
      <w:r w:rsidRPr="006912F6">
        <w:rPr>
          <w:b/>
        </w:rPr>
        <w:t>2.1 Conference Trips</w:t>
      </w:r>
    </w:p>
    <w:p w:rsidR="006912F6" w:rsidRDefault="006912F6" w:rsidP="00027CAB">
      <w:pPr>
        <w:spacing w:after="120"/>
        <w:jc w:val="both"/>
      </w:pPr>
      <w:r w:rsidRPr="006912F6">
        <w:t>Con</w:t>
      </w:r>
      <w:r>
        <w:t>ference trips can be supported for PI student of the project, providing that he/she is presenting the corresponding project/research results in the conference. Only one student can be support</w:t>
      </w:r>
      <w:r w:rsidR="00885C1B">
        <w:t>ed</w:t>
      </w:r>
      <w:r>
        <w:t xml:space="preserve"> for each paper presentation. </w:t>
      </w:r>
      <w:r w:rsidR="006C194D">
        <w:t>Student should submit the completed Application Form together with the following documents to the College Office at least 10 working days prior to the expenditure.</w:t>
      </w:r>
    </w:p>
    <w:p w:rsidR="006C194D" w:rsidRDefault="00027CAB" w:rsidP="00027CAB">
      <w:pPr>
        <w:pStyle w:val="ListParagraph"/>
        <w:numPr>
          <w:ilvl w:val="0"/>
          <w:numId w:val="3"/>
        </w:numPr>
        <w:ind w:leftChars="0"/>
        <w:jc w:val="both"/>
      </w:pPr>
      <w:r>
        <w:t>Registration material which showing the amount of registration fee</w:t>
      </w:r>
    </w:p>
    <w:p w:rsidR="00027CAB" w:rsidRDefault="00027CAB" w:rsidP="00027CAB">
      <w:pPr>
        <w:pStyle w:val="ListParagraph"/>
        <w:numPr>
          <w:ilvl w:val="0"/>
          <w:numId w:val="3"/>
        </w:numPr>
        <w:ind w:leftChars="0"/>
        <w:jc w:val="both"/>
      </w:pPr>
      <w:r>
        <w:t>Formal acceptance letter</w:t>
      </w:r>
    </w:p>
    <w:p w:rsidR="00027CAB" w:rsidRDefault="00027CAB" w:rsidP="00027CAB">
      <w:pPr>
        <w:pStyle w:val="ListParagraph"/>
        <w:numPr>
          <w:ilvl w:val="0"/>
          <w:numId w:val="3"/>
        </w:numPr>
        <w:ind w:leftChars="0"/>
        <w:jc w:val="both"/>
      </w:pPr>
      <w:r>
        <w:t>Full text of accepted paper/PPT</w:t>
      </w:r>
    </w:p>
    <w:p w:rsidR="00027CAB" w:rsidRPr="006912F6" w:rsidRDefault="00027CAB" w:rsidP="00027CAB">
      <w:pPr>
        <w:pStyle w:val="ListParagraph"/>
        <w:numPr>
          <w:ilvl w:val="0"/>
          <w:numId w:val="3"/>
        </w:numPr>
        <w:spacing w:after="120"/>
        <w:ind w:leftChars="0" w:left="1429" w:hanging="357"/>
        <w:jc w:val="both"/>
      </w:pPr>
      <w:r>
        <w:t>Statement of not receiving any other financial support for the conference</w:t>
      </w:r>
    </w:p>
    <w:p w:rsidR="003D1439" w:rsidRDefault="00027CAB" w:rsidP="002B1C59">
      <w:pPr>
        <w:spacing w:after="120"/>
        <w:jc w:val="both"/>
      </w:pPr>
      <w:r>
        <w:t xml:space="preserve">A conference trip report must be submitted the College Office within </w:t>
      </w:r>
      <w:r w:rsidR="00050F98">
        <w:t>two weeks</w:t>
      </w:r>
      <w:r>
        <w:t xml:space="preserve"> after returning from the trip and prior to the reimbursement.</w:t>
      </w:r>
    </w:p>
    <w:p w:rsidR="003D1439" w:rsidRDefault="002B1C59" w:rsidP="006570C9">
      <w:pPr>
        <w:jc w:val="both"/>
      </w:pPr>
      <w:r>
        <w:t xml:space="preserve">For each conference trip, all registration fee, and a maximum of </w:t>
      </w:r>
      <w:r w:rsidR="00B54BB9">
        <w:t xml:space="preserve">50% </w:t>
      </w:r>
      <w:r>
        <w:t>of transportation and accommodation fee could be support</w:t>
      </w:r>
      <w:r w:rsidR="00B54BB9">
        <w:t>ed</w:t>
      </w:r>
      <w:r>
        <w:t>. Note that all boarding passes and receipts for expenses must co</w:t>
      </w:r>
      <w:r w:rsidR="006570C9">
        <w:t>r</w:t>
      </w:r>
      <w:r>
        <w:t>respond to</w:t>
      </w:r>
      <w:r w:rsidR="006570C9">
        <w:t xml:space="preserve"> the conference site and must be within the conference period and the granted travelling time. Payment/reimbursement for the conference expenses will be based on the actual amount of submitted receipts and subject to the ceiling of the expenditure. Meals, travelling insurance, passport expenses, visa expenses, excess luggage fee, etc. will not be supported.</w:t>
      </w:r>
    </w:p>
    <w:p w:rsidR="006570C9" w:rsidRDefault="006570C9" w:rsidP="006570C9">
      <w:pPr>
        <w:jc w:val="both"/>
      </w:pPr>
    </w:p>
    <w:p w:rsidR="006570C9" w:rsidRDefault="006570C9" w:rsidP="006570C9">
      <w:pPr>
        <w:pStyle w:val="ListParagraph"/>
        <w:spacing w:after="120"/>
        <w:ind w:leftChars="0" w:left="357"/>
        <w:jc w:val="both"/>
        <w:rPr>
          <w:b/>
        </w:rPr>
      </w:pPr>
      <w:r w:rsidRPr="006570C9">
        <w:rPr>
          <w:b/>
        </w:rPr>
        <w:t>2.2 Research/ Field Trips</w:t>
      </w:r>
    </w:p>
    <w:p w:rsidR="006570C9" w:rsidRDefault="006570C9" w:rsidP="006570C9">
      <w:pPr>
        <w:spacing w:after="120"/>
        <w:jc w:val="both"/>
      </w:pPr>
      <w:r>
        <w:t xml:space="preserve">PJC students that are involved in the projects can </w:t>
      </w:r>
      <w:r w:rsidR="00FE7EA3">
        <w:t>be support</w:t>
      </w:r>
      <w:r w:rsidR="00B54BB9">
        <w:t>ed</w:t>
      </w:r>
      <w:r w:rsidR="00FE7EA3">
        <w:t xml:space="preserve"> for research/field trips. Grant recipient(s) must provide full justification (e.g. purpose of the trip, schedule plan of activities</w:t>
      </w:r>
      <w:r w:rsidR="00975B3C">
        <w:rPr>
          <w:rFonts w:eastAsia="SimSun" w:hint="eastAsia"/>
          <w:lang w:eastAsia="zh-CN"/>
        </w:rPr>
        <w:t xml:space="preserve">, </w:t>
      </w:r>
      <w:r w:rsidR="00AB0194">
        <w:t>detailed budget</w:t>
      </w:r>
      <w:r w:rsidR="00975B3C">
        <w:rPr>
          <w:rFonts w:eastAsia="SimSun" w:hint="eastAsia"/>
          <w:lang w:eastAsia="zh-CN"/>
        </w:rPr>
        <w:t xml:space="preserve"> and s</w:t>
      </w:r>
      <w:r w:rsidR="00975B3C">
        <w:t xml:space="preserve">tatement of not receiving any other financial support for </w:t>
      </w:r>
      <w:r w:rsidR="00975B3C">
        <w:rPr>
          <w:rFonts w:eastAsia="SimSun" w:hint="eastAsia"/>
          <w:lang w:eastAsia="zh-CN"/>
        </w:rPr>
        <w:t>the trip</w:t>
      </w:r>
      <w:r w:rsidR="00FE7EA3">
        <w:t>)</w:t>
      </w:r>
      <w:r w:rsidR="00AB0194">
        <w:t xml:space="preserve"> in the project application. </w:t>
      </w:r>
    </w:p>
    <w:p w:rsidR="00600308" w:rsidRDefault="00AB0194" w:rsidP="00600308">
      <w:pPr>
        <w:jc w:val="both"/>
      </w:pPr>
      <w:r>
        <w:t xml:space="preserve">A maximum of </w:t>
      </w:r>
      <w:r w:rsidR="00B54BB9">
        <w:t xml:space="preserve">50% </w:t>
      </w:r>
      <w:r>
        <w:t>of transportation and accommodation fee could be support</w:t>
      </w:r>
      <w:r w:rsidR="00B54BB9">
        <w:t>ed</w:t>
      </w:r>
      <w:r>
        <w:t xml:space="preserve">. Note that all boarding passes and receipts for expenses must correspond to the destination and must be within the research trip period. </w:t>
      </w:r>
      <w:r w:rsidR="00600308">
        <w:t>Payment/reimbursement for the research/field trip expenses will be based on the actual amount of submitted receipts and subject to the ceiling of the expenditure. Meals, travelling insurance, passport expenses, visa expenses, excess luggage fee, etc. will not be supported.</w:t>
      </w:r>
    </w:p>
    <w:p w:rsidR="00600308" w:rsidRDefault="00600308" w:rsidP="00600308">
      <w:pPr>
        <w:jc w:val="both"/>
      </w:pPr>
    </w:p>
    <w:p w:rsidR="00600308" w:rsidRPr="00600308" w:rsidRDefault="00600308" w:rsidP="00600308">
      <w:pPr>
        <w:pStyle w:val="ListParagraph"/>
        <w:spacing w:after="120"/>
        <w:ind w:leftChars="0" w:left="357"/>
        <w:jc w:val="both"/>
        <w:rPr>
          <w:b/>
        </w:rPr>
      </w:pPr>
      <w:r>
        <w:rPr>
          <w:b/>
        </w:rPr>
        <w:t>3.1</w:t>
      </w:r>
      <w:r w:rsidRPr="006570C9">
        <w:rPr>
          <w:b/>
        </w:rPr>
        <w:t xml:space="preserve"> </w:t>
      </w:r>
      <w:r w:rsidRPr="00600308">
        <w:rPr>
          <w:b/>
        </w:rPr>
        <w:t>Editing, proofreading and publication costs</w:t>
      </w:r>
    </w:p>
    <w:p w:rsidR="00AB0194" w:rsidRDefault="00600308" w:rsidP="00E1297B">
      <w:pPr>
        <w:jc w:val="both"/>
      </w:pPr>
      <w:r w:rsidRPr="00600308">
        <w:t>Editing, proofreading and publication costs</w:t>
      </w:r>
      <w:r>
        <w:t xml:space="preserve"> for book publication or journal submission will be considered o</w:t>
      </w:r>
      <w:r w:rsidR="00E1297B">
        <w:t>n a case-by-case basis. In all cases, proper justification must be provided in the application proposal. Payment/reimbursement for the publication expenses will be based on the actual amount of submitted receipts or invoices and subject to the ceiling of the expenditure.</w:t>
      </w:r>
    </w:p>
    <w:p w:rsidR="00E1297B" w:rsidRDefault="00E1297B" w:rsidP="00E1297B">
      <w:pPr>
        <w:jc w:val="both"/>
      </w:pPr>
    </w:p>
    <w:p w:rsidR="00E1297B" w:rsidRPr="00401199" w:rsidRDefault="00401199" w:rsidP="00401199">
      <w:pPr>
        <w:pStyle w:val="ListParagraph"/>
        <w:spacing w:after="120"/>
        <w:ind w:leftChars="0" w:left="357"/>
        <w:jc w:val="both"/>
        <w:rPr>
          <w:b/>
        </w:rPr>
      </w:pPr>
      <w:r>
        <w:rPr>
          <w:b/>
        </w:rPr>
        <w:t>4.1</w:t>
      </w:r>
      <w:r w:rsidRPr="006570C9">
        <w:rPr>
          <w:b/>
        </w:rPr>
        <w:t xml:space="preserve"> </w:t>
      </w:r>
      <w:r>
        <w:rPr>
          <w:b/>
        </w:rPr>
        <w:t>M</w:t>
      </w:r>
      <w:r w:rsidRPr="00401199">
        <w:rPr>
          <w:b/>
        </w:rPr>
        <w:t>iscellaneous</w:t>
      </w:r>
    </w:p>
    <w:p w:rsidR="00401199" w:rsidRDefault="00401199" w:rsidP="006570C9">
      <w:pPr>
        <w:jc w:val="both"/>
      </w:pPr>
      <w:r w:rsidRPr="00401199">
        <w:t>Miscellaneous</w:t>
      </w:r>
      <w:r>
        <w:t xml:space="preserve"> </w:t>
      </w:r>
      <w:r w:rsidR="00B54BB9">
        <w:t>items for the project may include</w:t>
      </w:r>
      <w:r>
        <w:t xml:space="preserve"> fax, photocopy, local public transportation, communication expenses, entrance ticket, etc. For all projects, miscellaneous expense should not exceed 10</w:t>
      </w:r>
      <w:r w:rsidR="00C622C3">
        <w:t>% of the total funding amount</w:t>
      </w:r>
      <w:r>
        <w:t xml:space="preserve">. </w:t>
      </w:r>
      <w:r w:rsidR="00C622C3">
        <w:t>Payment/reimbursement for the miscellaneous expenses will be based on the actual amount of submitted receipts.</w:t>
      </w:r>
    </w:p>
    <w:p w:rsidR="00C622C3" w:rsidRDefault="00C622C3" w:rsidP="006570C9">
      <w:pPr>
        <w:jc w:val="both"/>
      </w:pPr>
    </w:p>
    <w:p w:rsidR="00C622C3" w:rsidRDefault="00C622C3" w:rsidP="006570C9">
      <w:pPr>
        <w:jc w:val="both"/>
      </w:pPr>
    </w:p>
    <w:p w:rsidR="00593FE3" w:rsidRDefault="009429E5" w:rsidP="00C622C3">
      <w:pPr>
        <w:jc w:val="both"/>
      </w:pP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2637790</wp:posOffset>
                </wp:positionH>
                <wp:positionV relativeFrom="paragraph">
                  <wp:posOffset>250825</wp:posOffset>
                </wp:positionV>
                <wp:extent cx="2994025" cy="953770"/>
                <wp:effectExtent l="0" t="0" r="158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953770"/>
                        </a:xfrm>
                        <a:prstGeom prst="rect">
                          <a:avLst/>
                        </a:prstGeom>
                        <a:solidFill>
                          <a:srgbClr val="FFFFFF"/>
                        </a:solidFill>
                        <a:ln w="9525">
                          <a:solidFill>
                            <a:srgbClr val="000000"/>
                          </a:solidFill>
                          <a:miter lim="800000"/>
                          <a:headEnd/>
                          <a:tailEnd/>
                        </a:ln>
                      </wps:spPr>
                      <wps:txbx>
                        <w:txbxContent>
                          <w:p w:rsidR="00C622C3" w:rsidRDefault="00C622C3" w:rsidP="00C622C3">
                            <w:pPr>
                              <w:rPr>
                                <w:sz w:val="22"/>
                              </w:rPr>
                            </w:pPr>
                            <w:r w:rsidRPr="00C573DF">
                              <w:rPr>
                                <w:sz w:val="22"/>
                              </w:rPr>
                              <w:t>Prepared by: PJC Academic Support Committee</w:t>
                            </w:r>
                          </w:p>
                          <w:p w:rsidR="00C622C3" w:rsidRDefault="00C622C3" w:rsidP="00C622C3">
                            <w:pPr>
                              <w:rPr>
                                <w:sz w:val="22"/>
                              </w:rPr>
                            </w:pPr>
                            <w:r>
                              <w:rPr>
                                <w:sz w:val="22"/>
                              </w:rPr>
                              <w:t xml:space="preserve">Endorsed by: </w:t>
                            </w:r>
                          </w:p>
                          <w:p w:rsidR="00C622C3" w:rsidRDefault="00C622C3" w:rsidP="00C622C3">
                            <w:pPr>
                              <w:rPr>
                                <w:sz w:val="22"/>
                              </w:rPr>
                            </w:pPr>
                            <w:r>
                              <w:rPr>
                                <w:sz w:val="22"/>
                              </w:rPr>
                              <w:t>Approved by:</w:t>
                            </w:r>
                          </w:p>
                          <w:p w:rsidR="00C622C3" w:rsidRDefault="00C622C3" w:rsidP="00C622C3">
                            <w:pPr>
                              <w:rPr>
                                <w:sz w:val="22"/>
                              </w:rPr>
                            </w:pPr>
                            <w:r>
                              <w:rPr>
                                <w:sz w:val="22"/>
                              </w:rPr>
                              <w:t xml:space="preserve">Approved on: </w:t>
                            </w:r>
                          </w:p>
                          <w:p w:rsidR="00C622C3" w:rsidRPr="00C573DF" w:rsidRDefault="00C622C3" w:rsidP="00C622C3">
                            <w:pPr>
                              <w:rPr>
                                <w:sz w:val="22"/>
                              </w:rPr>
                            </w:pPr>
                            <w:r>
                              <w:rPr>
                                <w:sz w:val="22"/>
                              </w:rPr>
                              <w:t xml:space="preserve">Effective from: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pt;margin-top:19.75pt;width:235.75pt;height:75.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">
                <v:textbox style="mso-fit-shape-to-text:t">
                  <w:txbxContent>
                    <w:p w:rsidR="00C622C3" w:rsidRDefault="00C622C3" w:rsidP="00C622C3">
                      <w:pPr>
                        <w:rPr>
                          <w:sz w:val="22"/>
                        </w:rPr>
                      </w:pPr>
                      <w:r w:rsidRPr="00C573DF">
                        <w:rPr>
                          <w:sz w:val="22"/>
                        </w:rPr>
                        <w:t>Prepared by: PJC Academic Support Committee</w:t>
                      </w:r>
                    </w:p>
                    <w:p w:rsidR="00C622C3" w:rsidRDefault="00C622C3" w:rsidP="00C622C3">
                      <w:pPr>
                        <w:rPr>
                          <w:sz w:val="22"/>
                        </w:rPr>
                      </w:pPr>
                      <w:r>
                        <w:rPr>
                          <w:sz w:val="22"/>
                        </w:rPr>
                        <w:t xml:space="preserve">Endorsed by: </w:t>
                      </w:r>
                    </w:p>
                    <w:p w:rsidR="00C622C3" w:rsidRDefault="00C622C3" w:rsidP="00C622C3">
                      <w:pPr>
                        <w:rPr>
                          <w:sz w:val="22"/>
                        </w:rPr>
                      </w:pPr>
                      <w:r>
                        <w:rPr>
                          <w:sz w:val="22"/>
                        </w:rPr>
                        <w:t>Approved by:</w:t>
                      </w:r>
                    </w:p>
                    <w:p w:rsidR="00C622C3" w:rsidRDefault="00C622C3" w:rsidP="00C622C3">
                      <w:pPr>
                        <w:rPr>
                          <w:sz w:val="22"/>
                        </w:rPr>
                      </w:pPr>
                      <w:r>
                        <w:rPr>
                          <w:sz w:val="22"/>
                        </w:rPr>
                        <w:t xml:space="preserve">Approved on: </w:t>
                      </w:r>
                    </w:p>
                    <w:p w:rsidR="00C622C3" w:rsidRPr="00C573DF" w:rsidRDefault="00C622C3" w:rsidP="00C622C3">
                      <w:pPr>
                        <w:rPr>
                          <w:sz w:val="22"/>
                        </w:rPr>
                      </w:pPr>
                      <w:r>
                        <w:rPr>
                          <w:sz w:val="22"/>
                        </w:rPr>
                        <w:t xml:space="preserve">Effective from: </w:t>
                      </w:r>
                    </w:p>
                  </w:txbxContent>
                </v:textbox>
              </v:shape>
            </w:pict>
          </mc:Fallback>
        </mc:AlternateContent>
      </w:r>
    </w:p>
    <w:sectPr w:rsidR="00593FE3" w:rsidSect="00731B0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5F" w:rsidRDefault="008E015F" w:rsidP="00C84143">
      <w:r>
        <w:separator/>
      </w:r>
    </w:p>
  </w:endnote>
  <w:endnote w:type="continuationSeparator" w:id="0">
    <w:p w:rsidR="008E015F" w:rsidRDefault="008E015F" w:rsidP="00C8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652473"/>
      <w:docPartObj>
        <w:docPartGallery w:val="Page Numbers (Bottom of Page)"/>
        <w:docPartUnique/>
      </w:docPartObj>
    </w:sdtPr>
    <w:sdtEndPr>
      <w:rPr>
        <w:noProof/>
        <w:sz w:val="18"/>
        <w:szCs w:val="18"/>
      </w:rPr>
    </w:sdtEndPr>
    <w:sdtContent>
      <w:p w:rsidR="00D96515" w:rsidRPr="00D96515" w:rsidRDefault="00D96515">
        <w:pPr>
          <w:pStyle w:val="Footer"/>
          <w:jc w:val="center"/>
          <w:rPr>
            <w:sz w:val="18"/>
            <w:szCs w:val="18"/>
          </w:rPr>
        </w:pPr>
        <w:r w:rsidRPr="00D96515">
          <w:rPr>
            <w:sz w:val="18"/>
            <w:szCs w:val="18"/>
          </w:rPr>
          <w:fldChar w:fldCharType="begin"/>
        </w:r>
        <w:r w:rsidRPr="00D96515">
          <w:rPr>
            <w:sz w:val="18"/>
            <w:szCs w:val="18"/>
          </w:rPr>
          <w:instrText xml:space="preserve"> PAGE   \* MERGEFORMAT </w:instrText>
        </w:r>
        <w:r w:rsidRPr="00D96515">
          <w:rPr>
            <w:sz w:val="18"/>
            <w:szCs w:val="18"/>
          </w:rPr>
          <w:fldChar w:fldCharType="separate"/>
        </w:r>
        <w:r>
          <w:rPr>
            <w:noProof/>
            <w:sz w:val="18"/>
            <w:szCs w:val="18"/>
          </w:rPr>
          <w:t>3</w:t>
        </w:r>
        <w:r w:rsidRPr="00D96515">
          <w:rPr>
            <w:noProof/>
            <w:sz w:val="18"/>
            <w:szCs w:val="18"/>
          </w:rPr>
          <w:fldChar w:fldCharType="end"/>
        </w:r>
      </w:p>
    </w:sdtContent>
  </w:sdt>
  <w:p w:rsidR="00D96515" w:rsidRDefault="00D9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5F" w:rsidRDefault="008E015F" w:rsidP="00C84143">
      <w:r>
        <w:separator/>
      </w:r>
    </w:p>
  </w:footnote>
  <w:footnote w:type="continuationSeparator" w:id="0">
    <w:p w:rsidR="008E015F" w:rsidRDefault="008E015F" w:rsidP="00C84143">
      <w:r>
        <w:continuationSeparator/>
      </w:r>
    </w:p>
  </w:footnote>
  <w:footnote w:id="1">
    <w:p w:rsidR="009429E5" w:rsidRDefault="009429E5">
      <w:pPr>
        <w:pStyle w:val="FootnoteText"/>
      </w:pPr>
      <w:r>
        <w:rPr>
          <w:rStyle w:val="FootnoteReference"/>
        </w:rPr>
        <w:footnoteRef/>
      </w:r>
      <w:r>
        <w:t xml:space="preserve"> </w:t>
      </w:r>
      <w:r w:rsidRPr="0051560A">
        <w:rPr>
          <w:rFonts w:asciiTheme="majorHAnsi" w:eastAsiaTheme="majorEastAsia" w:hAnsiTheme="majorHAnsi" w:cstheme="majorBidi"/>
          <w:sz w:val="18"/>
          <w:szCs w:val="18"/>
        </w:rPr>
        <w:t>E-books and electronic media are excluded.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12DB"/>
    <w:multiLevelType w:val="hybridMultilevel"/>
    <w:tmpl w:val="BBBA7F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E53AE"/>
    <w:multiLevelType w:val="hybridMultilevel"/>
    <w:tmpl w:val="7630752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5C574D06"/>
    <w:multiLevelType w:val="hybridMultilevel"/>
    <w:tmpl w:val="A8DEF768"/>
    <w:lvl w:ilvl="0" w:tplc="BCAA64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79F86B21"/>
    <w:multiLevelType w:val="multilevel"/>
    <w:tmpl w:val="3DE61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F9"/>
    <w:rsid w:val="00004E49"/>
    <w:rsid w:val="00027613"/>
    <w:rsid w:val="00027CAB"/>
    <w:rsid w:val="00030A80"/>
    <w:rsid w:val="000337CF"/>
    <w:rsid w:val="00050F98"/>
    <w:rsid w:val="0007301C"/>
    <w:rsid w:val="000A45AD"/>
    <w:rsid w:val="000B69D2"/>
    <w:rsid w:val="000C6649"/>
    <w:rsid w:val="000D1B3B"/>
    <w:rsid w:val="000D2852"/>
    <w:rsid w:val="000D50FC"/>
    <w:rsid w:val="000D6438"/>
    <w:rsid w:val="000F359F"/>
    <w:rsid w:val="000F4497"/>
    <w:rsid w:val="000F4F37"/>
    <w:rsid w:val="00100498"/>
    <w:rsid w:val="00102739"/>
    <w:rsid w:val="001218A4"/>
    <w:rsid w:val="00131AA2"/>
    <w:rsid w:val="00145231"/>
    <w:rsid w:val="001453C6"/>
    <w:rsid w:val="00152CC3"/>
    <w:rsid w:val="00152CE6"/>
    <w:rsid w:val="00157BF5"/>
    <w:rsid w:val="00162B94"/>
    <w:rsid w:val="00172FD7"/>
    <w:rsid w:val="0019342D"/>
    <w:rsid w:val="001A1067"/>
    <w:rsid w:val="001A1C22"/>
    <w:rsid w:val="001A70A0"/>
    <w:rsid w:val="001C0FBC"/>
    <w:rsid w:val="001C2756"/>
    <w:rsid w:val="001C7649"/>
    <w:rsid w:val="001D2050"/>
    <w:rsid w:val="002038FC"/>
    <w:rsid w:val="0021491C"/>
    <w:rsid w:val="002362A1"/>
    <w:rsid w:val="002556E0"/>
    <w:rsid w:val="00271B13"/>
    <w:rsid w:val="0028659B"/>
    <w:rsid w:val="0029651F"/>
    <w:rsid w:val="002A0E5C"/>
    <w:rsid w:val="002A1901"/>
    <w:rsid w:val="002B1C59"/>
    <w:rsid w:val="002E0404"/>
    <w:rsid w:val="002E7EC1"/>
    <w:rsid w:val="00310051"/>
    <w:rsid w:val="00315C33"/>
    <w:rsid w:val="00321657"/>
    <w:rsid w:val="0032567B"/>
    <w:rsid w:val="003575AD"/>
    <w:rsid w:val="003C4CA5"/>
    <w:rsid w:val="003D1439"/>
    <w:rsid w:val="003F2643"/>
    <w:rsid w:val="003F2F15"/>
    <w:rsid w:val="00401199"/>
    <w:rsid w:val="00402EBA"/>
    <w:rsid w:val="00410065"/>
    <w:rsid w:val="0041046C"/>
    <w:rsid w:val="00415ABC"/>
    <w:rsid w:val="00427703"/>
    <w:rsid w:val="00427CFE"/>
    <w:rsid w:val="0044136F"/>
    <w:rsid w:val="00447AC1"/>
    <w:rsid w:val="00451686"/>
    <w:rsid w:val="0045279A"/>
    <w:rsid w:val="0048292A"/>
    <w:rsid w:val="004862BB"/>
    <w:rsid w:val="004946FC"/>
    <w:rsid w:val="00494B88"/>
    <w:rsid w:val="004A7FBA"/>
    <w:rsid w:val="004C4770"/>
    <w:rsid w:val="004E43B5"/>
    <w:rsid w:val="00506D87"/>
    <w:rsid w:val="005135DA"/>
    <w:rsid w:val="005147A7"/>
    <w:rsid w:val="00521DF8"/>
    <w:rsid w:val="00536E25"/>
    <w:rsid w:val="00536FF8"/>
    <w:rsid w:val="005517DB"/>
    <w:rsid w:val="00552CD7"/>
    <w:rsid w:val="005633D7"/>
    <w:rsid w:val="00563CCA"/>
    <w:rsid w:val="00565137"/>
    <w:rsid w:val="005710AB"/>
    <w:rsid w:val="00576336"/>
    <w:rsid w:val="00580A77"/>
    <w:rsid w:val="005873B6"/>
    <w:rsid w:val="00593FE3"/>
    <w:rsid w:val="00594A27"/>
    <w:rsid w:val="005A41F0"/>
    <w:rsid w:val="005C1383"/>
    <w:rsid w:val="005D2C38"/>
    <w:rsid w:val="005D51F9"/>
    <w:rsid w:val="005F11CC"/>
    <w:rsid w:val="005F592D"/>
    <w:rsid w:val="00600308"/>
    <w:rsid w:val="00605AA6"/>
    <w:rsid w:val="00624350"/>
    <w:rsid w:val="00635B6A"/>
    <w:rsid w:val="00636205"/>
    <w:rsid w:val="00645A27"/>
    <w:rsid w:val="00645C91"/>
    <w:rsid w:val="006570C9"/>
    <w:rsid w:val="006912F6"/>
    <w:rsid w:val="006B5E70"/>
    <w:rsid w:val="006C194D"/>
    <w:rsid w:val="006D2576"/>
    <w:rsid w:val="006E1C61"/>
    <w:rsid w:val="006F328F"/>
    <w:rsid w:val="007064B0"/>
    <w:rsid w:val="00715677"/>
    <w:rsid w:val="00720990"/>
    <w:rsid w:val="00731B00"/>
    <w:rsid w:val="007730F8"/>
    <w:rsid w:val="007A516D"/>
    <w:rsid w:val="007B382D"/>
    <w:rsid w:val="007C053B"/>
    <w:rsid w:val="007C26FC"/>
    <w:rsid w:val="007C49A3"/>
    <w:rsid w:val="007D420C"/>
    <w:rsid w:val="007E6BB9"/>
    <w:rsid w:val="00803540"/>
    <w:rsid w:val="0081113B"/>
    <w:rsid w:val="00815235"/>
    <w:rsid w:val="008156A2"/>
    <w:rsid w:val="00834073"/>
    <w:rsid w:val="008463F1"/>
    <w:rsid w:val="00855241"/>
    <w:rsid w:val="00872C21"/>
    <w:rsid w:val="00874561"/>
    <w:rsid w:val="00883203"/>
    <w:rsid w:val="00884A51"/>
    <w:rsid w:val="00885C1B"/>
    <w:rsid w:val="008A4B2E"/>
    <w:rsid w:val="008D29EF"/>
    <w:rsid w:val="008D3418"/>
    <w:rsid w:val="008E015F"/>
    <w:rsid w:val="008E1F52"/>
    <w:rsid w:val="008F18F0"/>
    <w:rsid w:val="008F667D"/>
    <w:rsid w:val="00900763"/>
    <w:rsid w:val="00900F28"/>
    <w:rsid w:val="009037A4"/>
    <w:rsid w:val="009130EE"/>
    <w:rsid w:val="009429E5"/>
    <w:rsid w:val="00962412"/>
    <w:rsid w:val="00975B3C"/>
    <w:rsid w:val="009826DC"/>
    <w:rsid w:val="00983697"/>
    <w:rsid w:val="00995F00"/>
    <w:rsid w:val="009A20CB"/>
    <w:rsid w:val="009A2D97"/>
    <w:rsid w:val="009B1A9B"/>
    <w:rsid w:val="009E25B0"/>
    <w:rsid w:val="009E2B03"/>
    <w:rsid w:val="009F5DE2"/>
    <w:rsid w:val="00A0025E"/>
    <w:rsid w:val="00A13374"/>
    <w:rsid w:val="00A27B44"/>
    <w:rsid w:val="00A33AE5"/>
    <w:rsid w:val="00A42647"/>
    <w:rsid w:val="00A71B3A"/>
    <w:rsid w:val="00A76744"/>
    <w:rsid w:val="00A81E73"/>
    <w:rsid w:val="00A84D41"/>
    <w:rsid w:val="00A936EA"/>
    <w:rsid w:val="00A95402"/>
    <w:rsid w:val="00AA4BB2"/>
    <w:rsid w:val="00AB0194"/>
    <w:rsid w:val="00AB1EA2"/>
    <w:rsid w:val="00AB79D1"/>
    <w:rsid w:val="00AC0890"/>
    <w:rsid w:val="00AD1EF5"/>
    <w:rsid w:val="00AD6E14"/>
    <w:rsid w:val="00B15387"/>
    <w:rsid w:val="00B23A30"/>
    <w:rsid w:val="00B32373"/>
    <w:rsid w:val="00B41083"/>
    <w:rsid w:val="00B444D9"/>
    <w:rsid w:val="00B45BFF"/>
    <w:rsid w:val="00B46810"/>
    <w:rsid w:val="00B53621"/>
    <w:rsid w:val="00B54BB9"/>
    <w:rsid w:val="00B82DD3"/>
    <w:rsid w:val="00B85D2F"/>
    <w:rsid w:val="00B90B53"/>
    <w:rsid w:val="00BB157F"/>
    <w:rsid w:val="00BB6253"/>
    <w:rsid w:val="00BC10C7"/>
    <w:rsid w:val="00BD0150"/>
    <w:rsid w:val="00BD04E9"/>
    <w:rsid w:val="00BE4759"/>
    <w:rsid w:val="00C0204F"/>
    <w:rsid w:val="00C071D3"/>
    <w:rsid w:val="00C246CC"/>
    <w:rsid w:val="00C26718"/>
    <w:rsid w:val="00C438E4"/>
    <w:rsid w:val="00C45B50"/>
    <w:rsid w:val="00C55F69"/>
    <w:rsid w:val="00C622C3"/>
    <w:rsid w:val="00C6635E"/>
    <w:rsid w:val="00C704A1"/>
    <w:rsid w:val="00C84143"/>
    <w:rsid w:val="00C84CA9"/>
    <w:rsid w:val="00C85E50"/>
    <w:rsid w:val="00C87707"/>
    <w:rsid w:val="00C96664"/>
    <w:rsid w:val="00CC1317"/>
    <w:rsid w:val="00CE204C"/>
    <w:rsid w:val="00CE7144"/>
    <w:rsid w:val="00CF66AE"/>
    <w:rsid w:val="00D0031C"/>
    <w:rsid w:val="00D1407C"/>
    <w:rsid w:val="00D15536"/>
    <w:rsid w:val="00D8009D"/>
    <w:rsid w:val="00D8741E"/>
    <w:rsid w:val="00D9167B"/>
    <w:rsid w:val="00D96515"/>
    <w:rsid w:val="00DC6E10"/>
    <w:rsid w:val="00DD354C"/>
    <w:rsid w:val="00DF0247"/>
    <w:rsid w:val="00DF58D0"/>
    <w:rsid w:val="00E06DBB"/>
    <w:rsid w:val="00E1297B"/>
    <w:rsid w:val="00E15762"/>
    <w:rsid w:val="00E2292E"/>
    <w:rsid w:val="00E25C1E"/>
    <w:rsid w:val="00E5625D"/>
    <w:rsid w:val="00E56349"/>
    <w:rsid w:val="00E67A5F"/>
    <w:rsid w:val="00E74FC2"/>
    <w:rsid w:val="00E86D8F"/>
    <w:rsid w:val="00E934C9"/>
    <w:rsid w:val="00E95B26"/>
    <w:rsid w:val="00EB2116"/>
    <w:rsid w:val="00EB508F"/>
    <w:rsid w:val="00EC02E9"/>
    <w:rsid w:val="00EF0DA9"/>
    <w:rsid w:val="00F044F5"/>
    <w:rsid w:val="00F074F4"/>
    <w:rsid w:val="00F116AA"/>
    <w:rsid w:val="00F22B60"/>
    <w:rsid w:val="00F46AE6"/>
    <w:rsid w:val="00F53DE5"/>
    <w:rsid w:val="00F54C17"/>
    <w:rsid w:val="00F55146"/>
    <w:rsid w:val="00F82AEF"/>
    <w:rsid w:val="00F97B31"/>
    <w:rsid w:val="00FD6B00"/>
    <w:rsid w:val="00FE3184"/>
    <w:rsid w:val="00FE7280"/>
    <w:rsid w:val="00FE7EA3"/>
    <w:rsid w:val="00FF3637"/>
    <w:rsid w:val="00FF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43"/>
    <w:pPr>
      <w:widowControl w:val="0"/>
      <w:spacing w:after="0" w:line="240" w:lineRule="auto"/>
    </w:pPr>
    <w:rPr>
      <w:rFonts w:ascii="Calibri" w:eastAsia="新細明體" w:hAnsi="Calibri" w:cs="Times New Roman"/>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143"/>
    <w:pPr>
      <w:tabs>
        <w:tab w:val="center" w:pos="4320"/>
        <w:tab w:val="right" w:pos="8640"/>
      </w:tabs>
    </w:pPr>
  </w:style>
  <w:style w:type="character" w:customStyle="1" w:styleId="HeaderChar">
    <w:name w:val="Header Char"/>
    <w:basedOn w:val="DefaultParagraphFont"/>
    <w:link w:val="Header"/>
    <w:uiPriority w:val="99"/>
    <w:rsid w:val="00C84143"/>
  </w:style>
  <w:style w:type="paragraph" w:styleId="Footer">
    <w:name w:val="footer"/>
    <w:basedOn w:val="Normal"/>
    <w:link w:val="FooterChar"/>
    <w:uiPriority w:val="99"/>
    <w:unhideWhenUsed/>
    <w:rsid w:val="00C84143"/>
    <w:pPr>
      <w:tabs>
        <w:tab w:val="center" w:pos="4320"/>
        <w:tab w:val="right" w:pos="8640"/>
      </w:tabs>
    </w:pPr>
  </w:style>
  <w:style w:type="character" w:customStyle="1" w:styleId="FooterChar">
    <w:name w:val="Footer Char"/>
    <w:basedOn w:val="DefaultParagraphFont"/>
    <w:link w:val="Footer"/>
    <w:uiPriority w:val="99"/>
    <w:rsid w:val="00C84143"/>
  </w:style>
  <w:style w:type="paragraph" w:styleId="ListParagraph">
    <w:name w:val="List Paragraph"/>
    <w:basedOn w:val="Normal"/>
    <w:uiPriority w:val="99"/>
    <w:qFormat/>
    <w:rsid w:val="00C84143"/>
    <w:pPr>
      <w:ind w:leftChars="200" w:left="480"/>
    </w:pPr>
  </w:style>
  <w:style w:type="paragraph" w:styleId="BalloonText">
    <w:name w:val="Balloon Text"/>
    <w:basedOn w:val="Normal"/>
    <w:link w:val="BalloonTextChar"/>
    <w:uiPriority w:val="99"/>
    <w:semiHidden/>
    <w:unhideWhenUsed/>
    <w:rsid w:val="00C071D3"/>
    <w:rPr>
      <w:rFonts w:ascii="Tahoma" w:hAnsi="Tahoma" w:cs="Tahoma"/>
      <w:sz w:val="16"/>
      <w:szCs w:val="16"/>
    </w:rPr>
  </w:style>
  <w:style w:type="character" w:customStyle="1" w:styleId="BalloonTextChar">
    <w:name w:val="Balloon Text Char"/>
    <w:basedOn w:val="DefaultParagraphFont"/>
    <w:link w:val="BalloonText"/>
    <w:uiPriority w:val="99"/>
    <w:semiHidden/>
    <w:rsid w:val="00C071D3"/>
    <w:rPr>
      <w:rFonts w:ascii="Tahoma" w:eastAsia="新細明體" w:hAnsi="Tahoma" w:cs="Tahoma"/>
      <w:kern w:val="2"/>
      <w:sz w:val="16"/>
      <w:szCs w:val="16"/>
      <w:lang w:eastAsia="zh-TW"/>
    </w:rPr>
  </w:style>
  <w:style w:type="paragraph" w:styleId="EndnoteText">
    <w:name w:val="endnote text"/>
    <w:basedOn w:val="Normal"/>
    <w:link w:val="EndnoteTextChar"/>
    <w:uiPriority w:val="99"/>
    <w:semiHidden/>
    <w:unhideWhenUsed/>
    <w:rsid w:val="009429E5"/>
    <w:rPr>
      <w:sz w:val="20"/>
      <w:szCs w:val="20"/>
    </w:rPr>
  </w:style>
  <w:style w:type="character" w:customStyle="1" w:styleId="EndnoteTextChar">
    <w:name w:val="Endnote Text Char"/>
    <w:basedOn w:val="DefaultParagraphFont"/>
    <w:link w:val="EndnoteText"/>
    <w:uiPriority w:val="99"/>
    <w:semiHidden/>
    <w:rsid w:val="009429E5"/>
    <w:rPr>
      <w:rFonts w:ascii="Calibri" w:eastAsia="新細明體" w:hAnsi="Calibri" w:cs="Times New Roman"/>
      <w:kern w:val="2"/>
      <w:sz w:val="20"/>
      <w:szCs w:val="20"/>
      <w:lang w:eastAsia="zh-TW"/>
    </w:rPr>
  </w:style>
  <w:style w:type="character" w:styleId="EndnoteReference">
    <w:name w:val="endnote reference"/>
    <w:basedOn w:val="DefaultParagraphFont"/>
    <w:uiPriority w:val="99"/>
    <w:semiHidden/>
    <w:unhideWhenUsed/>
    <w:rsid w:val="009429E5"/>
    <w:rPr>
      <w:vertAlign w:val="superscript"/>
    </w:rPr>
  </w:style>
  <w:style w:type="paragraph" w:styleId="FootnoteText">
    <w:name w:val="footnote text"/>
    <w:basedOn w:val="Normal"/>
    <w:link w:val="FootnoteTextChar"/>
    <w:uiPriority w:val="99"/>
    <w:semiHidden/>
    <w:unhideWhenUsed/>
    <w:rsid w:val="009429E5"/>
    <w:rPr>
      <w:sz w:val="20"/>
      <w:szCs w:val="20"/>
    </w:rPr>
  </w:style>
  <w:style w:type="character" w:customStyle="1" w:styleId="FootnoteTextChar">
    <w:name w:val="Footnote Text Char"/>
    <w:basedOn w:val="DefaultParagraphFont"/>
    <w:link w:val="FootnoteText"/>
    <w:uiPriority w:val="99"/>
    <w:semiHidden/>
    <w:rsid w:val="009429E5"/>
    <w:rPr>
      <w:rFonts w:ascii="Calibri" w:eastAsia="新細明體" w:hAnsi="Calibri" w:cs="Times New Roman"/>
      <w:kern w:val="2"/>
      <w:sz w:val="20"/>
      <w:szCs w:val="20"/>
      <w:lang w:eastAsia="zh-TW"/>
    </w:rPr>
  </w:style>
  <w:style w:type="character" w:styleId="FootnoteReference">
    <w:name w:val="footnote reference"/>
    <w:basedOn w:val="DefaultParagraphFont"/>
    <w:uiPriority w:val="99"/>
    <w:semiHidden/>
    <w:unhideWhenUsed/>
    <w:rsid w:val="009429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43"/>
    <w:pPr>
      <w:widowControl w:val="0"/>
      <w:spacing w:after="0" w:line="240" w:lineRule="auto"/>
    </w:pPr>
    <w:rPr>
      <w:rFonts w:ascii="Calibri" w:eastAsia="新細明體" w:hAnsi="Calibri" w:cs="Times New Roman"/>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143"/>
    <w:pPr>
      <w:tabs>
        <w:tab w:val="center" w:pos="4320"/>
        <w:tab w:val="right" w:pos="8640"/>
      </w:tabs>
    </w:pPr>
  </w:style>
  <w:style w:type="character" w:customStyle="1" w:styleId="HeaderChar">
    <w:name w:val="Header Char"/>
    <w:basedOn w:val="DefaultParagraphFont"/>
    <w:link w:val="Header"/>
    <w:uiPriority w:val="99"/>
    <w:rsid w:val="00C84143"/>
  </w:style>
  <w:style w:type="paragraph" w:styleId="Footer">
    <w:name w:val="footer"/>
    <w:basedOn w:val="Normal"/>
    <w:link w:val="FooterChar"/>
    <w:uiPriority w:val="99"/>
    <w:unhideWhenUsed/>
    <w:rsid w:val="00C84143"/>
    <w:pPr>
      <w:tabs>
        <w:tab w:val="center" w:pos="4320"/>
        <w:tab w:val="right" w:pos="8640"/>
      </w:tabs>
    </w:pPr>
  </w:style>
  <w:style w:type="character" w:customStyle="1" w:styleId="FooterChar">
    <w:name w:val="Footer Char"/>
    <w:basedOn w:val="DefaultParagraphFont"/>
    <w:link w:val="Footer"/>
    <w:uiPriority w:val="99"/>
    <w:rsid w:val="00C84143"/>
  </w:style>
  <w:style w:type="paragraph" w:styleId="ListParagraph">
    <w:name w:val="List Paragraph"/>
    <w:basedOn w:val="Normal"/>
    <w:uiPriority w:val="99"/>
    <w:qFormat/>
    <w:rsid w:val="00C84143"/>
    <w:pPr>
      <w:ind w:leftChars="200" w:left="480"/>
    </w:pPr>
  </w:style>
  <w:style w:type="paragraph" w:styleId="BalloonText">
    <w:name w:val="Balloon Text"/>
    <w:basedOn w:val="Normal"/>
    <w:link w:val="BalloonTextChar"/>
    <w:uiPriority w:val="99"/>
    <w:semiHidden/>
    <w:unhideWhenUsed/>
    <w:rsid w:val="00C071D3"/>
    <w:rPr>
      <w:rFonts w:ascii="Tahoma" w:hAnsi="Tahoma" w:cs="Tahoma"/>
      <w:sz w:val="16"/>
      <w:szCs w:val="16"/>
    </w:rPr>
  </w:style>
  <w:style w:type="character" w:customStyle="1" w:styleId="BalloonTextChar">
    <w:name w:val="Balloon Text Char"/>
    <w:basedOn w:val="DefaultParagraphFont"/>
    <w:link w:val="BalloonText"/>
    <w:uiPriority w:val="99"/>
    <w:semiHidden/>
    <w:rsid w:val="00C071D3"/>
    <w:rPr>
      <w:rFonts w:ascii="Tahoma" w:eastAsia="新細明體" w:hAnsi="Tahoma" w:cs="Tahoma"/>
      <w:kern w:val="2"/>
      <w:sz w:val="16"/>
      <w:szCs w:val="16"/>
      <w:lang w:eastAsia="zh-TW"/>
    </w:rPr>
  </w:style>
  <w:style w:type="paragraph" w:styleId="EndnoteText">
    <w:name w:val="endnote text"/>
    <w:basedOn w:val="Normal"/>
    <w:link w:val="EndnoteTextChar"/>
    <w:uiPriority w:val="99"/>
    <w:semiHidden/>
    <w:unhideWhenUsed/>
    <w:rsid w:val="009429E5"/>
    <w:rPr>
      <w:sz w:val="20"/>
      <w:szCs w:val="20"/>
    </w:rPr>
  </w:style>
  <w:style w:type="character" w:customStyle="1" w:styleId="EndnoteTextChar">
    <w:name w:val="Endnote Text Char"/>
    <w:basedOn w:val="DefaultParagraphFont"/>
    <w:link w:val="EndnoteText"/>
    <w:uiPriority w:val="99"/>
    <w:semiHidden/>
    <w:rsid w:val="009429E5"/>
    <w:rPr>
      <w:rFonts w:ascii="Calibri" w:eastAsia="新細明體" w:hAnsi="Calibri" w:cs="Times New Roman"/>
      <w:kern w:val="2"/>
      <w:sz w:val="20"/>
      <w:szCs w:val="20"/>
      <w:lang w:eastAsia="zh-TW"/>
    </w:rPr>
  </w:style>
  <w:style w:type="character" w:styleId="EndnoteReference">
    <w:name w:val="endnote reference"/>
    <w:basedOn w:val="DefaultParagraphFont"/>
    <w:uiPriority w:val="99"/>
    <w:semiHidden/>
    <w:unhideWhenUsed/>
    <w:rsid w:val="009429E5"/>
    <w:rPr>
      <w:vertAlign w:val="superscript"/>
    </w:rPr>
  </w:style>
  <w:style w:type="paragraph" w:styleId="FootnoteText">
    <w:name w:val="footnote text"/>
    <w:basedOn w:val="Normal"/>
    <w:link w:val="FootnoteTextChar"/>
    <w:uiPriority w:val="99"/>
    <w:semiHidden/>
    <w:unhideWhenUsed/>
    <w:rsid w:val="009429E5"/>
    <w:rPr>
      <w:sz w:val="20"/>
      <w:szCs w:val="20"/>
    </w:rPr>
  </w:style>
  <w:style w:type="character" w:customStyle="1" w:styleId="FootnoteTextChar">
    <w:name w:val="Footnote Text Char"/>
    <w:basedOn w:val="DefaultParagraphFont"/>
    <w:link w:val="FootnoteText"/>
    <w:uiPriority w:val="99"/>
    <w:semiHidden/>
    <w:rsid w:val="009429E5"/>
    <w:rPr>
      <w:rFonts w:ascii="Calibri" w:eastAsia="新細明體" w:hAnsi="Calibri" w:cs="Times New Roman"/>
      <w:kern w:val="2"/>
      <w:sz w:val="20"/>
      <w:szCs w:val="20"/>
      <w:lang w:eastAsia="zh-TW"/>
    </w:rPr>
  </w:style>
  <w:style w:type="character" w:styleId="FootnoteReference">
    <w:name w:val="footnote reference"/>
    <w:basedOn w:val="DefaultParagraphFont"/>
    <w:uiPriority w:val="99"/>
    <w:semiHidden/>
    <w:unhideWhenUsed/>
    <w:rsid w:val="00942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112E-F75E-494C-B703-5AA0D349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6</cp:revision>
  <dcterms:created xsi:type="dcterms:W3CDTF">2013-09-17T03:23:00Z</dcterms:created>
  <dcterms:modified xsi:type="dcterms:W3CDTF">2013-09-23T09:59:00Z</dcterms:modified>
</cp:coreProperties>
</file>